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B9C34" w14:textId="03ACFD59" w:rsidR="00340609" w:rsidRPr="00B04B3F" w:rsidRDefault="006E6BFD" w:rsidP="00E76168">
      <w:pPr>
        <w:ind w:left="-284" w:right="-291"/>
        <w:contextualSpacing/>
        <w:jc w:val="both"/>
        <w:rPr>
          <w:rFonts w:ascii="Georgia" w:hAnsi="Georgia"/>
          <w:b/>
          <w:i/>
          <w:sz w:val="20"/>
          <w:u w:val="single"/>
        </w:rPr>
      </w:pPr>
      <w:r>
        <w:rPr>
          <w:rFonts w:ascii="Georgia" w:hAnsi="Georgia"/>
          <w:b/>
          <w:color w:val="FF0000"/>
          <w:sz w:val="20"/>
          <w:u w:val="single"/>
        </w:rPr>
        <w:t xml:space="preserve">  </w:t>
      </w:r>
      <w:bookmarkStart w:id="0" w:name="_GoBack"/>
      <w:bookmarkEnd w:id="0"/>
      <w:r w:rsidR="00340609" w:rsidRPr="00F868AC">
        <w:rPr>
          <w:rFonts w:ascii="Georgia" w:hAnsi="Georgia"/>
          <w:b/>
          <w:color w:val="FF0000"/>
          <w:sz w:val="20"/>
          <w:u w:val="single"/>
        </w:rPr>
        <w:t xml:space="preserve">Riteniamo che la C.T.U. </w:t>
      </w:r>
      <w:r w:rsidR="00B04B3F" w:rsidRPr="00F868AC">
        <w:rPr>
          <w:rFonts w:ascii="Georgia" w:hAnsi="Georgia"/>
          <w:b/>
          <w:color w:val="FF0000"/>
          <w:sz w:val="20"/>
          <w:u w:val="single"/>
        </w:rPr>
        <w:t xml:space="preserve">sul contratto di mutuo </w:t>
      </w:r>
      <w:r w:rsidR="00340609" w:rsidRPr="00F868AC">
        <w:rPr>
          <w:rFonts w:ascii="Georgia" w:hAnsi="Georgia"/>
          <w:b/>
          <w:color w:val="FF0000"/>
          <w:sz w:val="20"/>
          <w:u w:val="single"/>
        </w:rPr>
        <w:t>dovrebbe, tra gli altri quesiti indicati dall’Ill.mo giudicante, avere per oggetto anche i seguenti</w:t>
      </w:r>
      <w:r w:rsidR="00340609" w:rsidRPr="00B04B3F">
        <w:rPr>
          <w:rFonts w:ascii="Georgia" w:hAnsi="Georgia"/>
          <w:b/>
          <w:i/>
          <w:sz w:val="20"/>
          <w:u w:val="single"/>
        </w:rPr>
        <w:t xml:space="preserve">: </w:t>
      </w:r>
    </w:p>
    <w:p w14:paraId="1E811C8F" w14:textId="77777777" w:rsidR="00D152A8" w:rsidRPr="00F868AC" w:rsidRDefault="00340609" w:rsidP="00D152A8">
      <w:pPr>
        <w:widowControl w:val="0"/>
        <w:tabs>
          <w:tab w:val="num" w:pos="0"/>
          <w:tab w:val="left" w:pos="204"/>
        </w:tabs>
        <w:autoSpaceDE w:val="0"/>
        <w:autoSpaceDN w:val="0"/>
        <w:adjustRightInd w:val="0"/>
        <w:ind w:left="-284" w:right="-291"/>
        <w:contextualSpacing/>
        <w:jc w:val="both"/>
        <w:rPr>
          <w:rFonts w:ascii="Georgia" w:hAnsi="Georgia"/>
          <w:b/>
          <w:i/>
          <w:color w:val="0000FF"/>
          <w:sz w:val="20"/>
        </w:rPr>
      </w:pPr>
      <w:proofErr w:type="gramStart"/>
      <w:r w:rsidRPr="00F868AC">
        <w:rPr>
          <w:rFonts w:ascii="Georgia" w:hAnsi="Georgia"/>
          <w:b/>
          <w:i/>
          <w:color w:val="0000FF"/>
          <w:sz w:val="20"/>
        </w:rPr>
        <w:t xml:space="preserve">“Con riferimento all’impugnato contratto di finanziamento: </w:t>
      </w:r>
      <w:proofErr w:type="gramEnd"/>
    </w:p>
    <w:p w14:paraId="4BE27441" w14:textId="171BF0A8" w:rsidR="00D152A8" w:rsidRPr="00F868AC" w:rsidRDefault="00D152A8" w:rsidP="00D152A8">
      <w:pPr>
        <w:pStyle w:val="Paragrafoelenco"/>
        <w:widowControl w:val="0"/>
        <w:numPr>
          <w:ilvl w:val="0"/>
          <w:numId w:val="5"/>
        </w:numPr>
        <w:tabs>
          <w:tab w:val="num" w:pos="0"/>
          <w:tab w:val="left" w:pos="204"/>
        </w:tabs>
        <w:autoSpaceDE w:val="0"/>
        <w:autoSpaceDN w:val="0"/>
        <w:adjustRightInd w:val="0"/>
        <w:ind w:right="-291"/>
        <w:jc w:val="both"/>
        <w:rPr>
          <w:rFonts w:ascii="Georgia" w:hAnsi="Georgia"/>
          <w:b/>
          <w:i/>
          <w:color w:val="0000FF"/>
          <w:sz w:val="20"/>
        </w:rPr>
      </w:pPr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Relativamente alla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 verifica dell’applicazione della capitalizzazione composta nel piano di ammortamento:</w:t>
      </w:r>
    </w:p>
    <w:p w14:paraId="4992AC77" w14:textId="77777777" w:rsidR="00D152A8" w:rsidRPr="00E76168" w:rsidRDefault="00D152A8" w:rsidP="00D152A8">
      <w:pPr>
        <w:pStyle w:val="Paragrafoelenco"/>
        <w:widowControl w:val="0"/>
        <w:numPr>
          <w:ilvl w:val="0"/>
          <w:numId w:val="3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E76168">
        <w:rPr>
          <w:rFonts w:ascii="Georgia" w:hAnsi="Georgia"/>
          <w:i/>
          <w:color w:val="000000"/>
          <w:sz w:val="20"/>
        </w:rPr>
        <w:t>verificare</w:t>
      </w:r>
      <w:proofErr w:type="gramEnd"/>
      <w:r w:rsidRPr="00E76168">
        <w:rPr>
          <w:rFonts w:ascii="Georgia" w:hAnsi="Georgia"/>
          <w:i/>
          <w:color w:val="000000"/>
          <w:sz w:val="20"/>
        </w:rPr>
        <w:t xml:space="preserve"> al </w:t>
      </w:r>
      <w:r w:rsidRPr="00B04B3F">
        <w:rPr>
          <w:rFonts w:ascii="Georgia" w:hAnsi="Georgia"/>
          <w:b/>
          <w:i/>
          <w:color w:val="000000"/>
          <w:sz w:val="20"/>
        </w:rPr>
        <w:t>momento della pattuizione contrattuale</w:t>
      </w:r>
      <w:r w:rsidRPr="00E76168">
        <w:rPr>
          <w:rFonts w:ascii="Georgia" w:hAnsi="Georgia"/>
          <w:i/>
          <w:color w:val="000000"/>
          <w:sz w:val="20"/>
        </w:rPr>
        <w:t xml:space="preserve"> (atto notarile o scrittura privata, per i chirografi) </w:t>
      </w:r>
      <w:r w:rsidRPr="00B04B3F">
        <w:rPr>
          <w:rFonts w:ascii="Georgia" w:hAnsi="Georgia"/>
          <w:b/>
          <w:i/>
          <w:color w:val="000000"/>
          <w:sz w:val="20"/>
        </w:rPr>
        <w:t>il tasso indicato nell’atto</w:t>
      </w:r>
      <w:r w:rsidRPr="00E76168">
        <w:rPr>
          <w:rFonts w:ascii="Georgia" w:hAnsi="Georgia"/>
          <w:i/>
          <w:color w:val="000000"/>
          <w:sz w:val="20"/>
        </w:rPr>
        <w:t>, procedendo poi alla realizzazione del piano di ammortamento utilizzando la formula dell’</w:t>
      </w:r>
      <w:r w:rsidRPr="006E0AEA">
        <w:rPr>
          <w:rFonts w:ascii="Georgia" w:hAnsi="Georgia"/>
          <w:b/>
          <w:i/>
          <w:color w:val="000000"/>
          <w:sz w:val="20"/>
        </w:rPr>
        <w:t>interesse semplice</w:t>
      </w:r>
      <w:r w:rsidRPr="00E76168">
        <w:rPr>
          <w:rFonts w:ascii="Georgia" w:hAnsi="Georgia"/>
          <w:i/>
          <w:color w:val="000000"/>
          <w:sz w:val="20"/>
        </w:rPr>
        <w:t>, ovvero senza alcuna capitalizzazione (il tasso indicato in contratto deve corrispondere a quello effettivo utilizzato per lo sviluppo del piano di ammortamento);</w:t>
      </w:r>
    </w:p>
    <w:p w14:paraId="2FB76E92" w14:textId="77777777" w:rsidR="00D152A8" w:rsidRDefault="00D152A8" w:rsidP="00D152A8">
      <w:pPr>
        <w:pStyle w:val="Paragrafoelenco"/>
        <w:widowControl w:val="0"/>
        <w:numPr>
          <w:ilvl w:val="0"/>
          <w:numId w:val="3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6E0AEA">
        <w:rPr>
          <w:rFonts w:ascii="Georgia" w:hAnsi="Georgia"/>
          <w:b/>
          <w:i/>
          <w:color w:val="000000"/>
          <w:sz w:val="20"/>
        </w:rPr>
        <w:t>nell’</w:t>
      </w:r>
      <w:proofErr w:type="gramEnd"/>
      <w:r w:rsidRPr="006E0AEA">
        <w:rPr>
          <w:rFonts w:ascii="Georgia" w:hAnsi="Georgia"/>
          <w:b/>
          <w:i/>
          <w:color w:val="000000"/>
          <w:sz w:val="20"/>
        </w:rPr>
        <w:t>ipotesi che detto ricalcolo evidenzi delle rate più ridotte</w:t>
      </w:r>
      <w:r w:rsidRPr="00E76168">
        <w:rPr>
          <w:rFonts w:ascii="Georgia" w:hAnsi="Georgia"/>
          <w:i/>
          <w:color w:val="000000"/>
          <w:sz w:val="20"/>
        </w:rPr>
        <w:t xml:space="preserve">, evidenziando l’uso di capitalizzazione composta occulta nel calcolo originario ed un incertezza nella determinazione del tasso ultralegale, </w:t>
      </w:r>
      <w:r w:rsidRPr="00F868AC">
        <w:rPr>
          <w:rFonts w:ascii="Georgia" w:hAnsi="Georgia"/>
          <w:b/>
          <w:i/>
          <w:color w:val="000000"/>
          <w:sz w:val="20"/>
        </w:rPr>
        <w:t xml:space="preserve">ricalcolare il tasso contrattuale ai sensi di quanto previsto dall’art. 1284 c.c. nei casi </w:t>
      </w:r>
      <w:proofErr w:type="gramStart"/>
      <w:r w:rsidRPr="00F868AC">
        <w:rPr>
          <w:rFonts w:ascii="Georgia" w:hAnsi="Georgia"/>
          <w:b/>
          <w:i/>
          <w:color w:val="000000"/>
          <w:sz w:val="20"/>
        </w:rPr>
        <w:t xml:space="preserve">di </w:t>
      </w:r>
      <w:proofErr w:type="gramEnd"/>
      <w:r w:rsidRPr="00F868AC">
        <w:rPr>
          <w:rFonts w:ascii="Georgia" w:hAnsi="Georgia"/>
          <w:b/>
          <w:i/>
          <w:color w:val="000000"/>
          <w:sz w:val="20"/>
        </w:rPr>
        <w:t>indeterminatezza del tasso e sviluppare un nuovo piano di ammortamento utilizzando il tasso legale vigente alla sottoscrizione del contratto</w:t>
      </w:r>
      <w:r w:rsidRPr="00E76168">
        <w:rPr>
          <w:rFonts w:ascii="Georgia" w:hAnsi="Georgia"/>
          <w:i/>
          <w:color w:val="000000"/>
          <w:sz w:val="20"/>
        </w:rPr>
        <w:t>; adeguando il tasso per il calcolo degli interessi ai saggi legali vigenti nei successivi periodi (rilevazione del tasso legale ad inizio periodo); calcolare il debito residuo (seguendo i criteri di cui ai punti) alla data di estinzione naturale del contratto tenuto conto dei versamenti pro tempore effettuati.“</w:t>
      </w:r>
    </w:p>
    <w:p w14:paraId="798C3A8A" w14:textId="2B19A963" w:rsidR="00340609" w:rsidRPr="00D152A8" w:rsidRDefault="00D152A8" w:rsidP="00D152A8">
      <w:pPr>
        <w:pStyle w:val="Paragrafoelenco"/>
        <w:widowControl w:val="0"/>
        <w:numPr>
          <w:ilvl w:val="0"/>
          <w:numId w:val="5"/>
        </w:numPr>
        <w:tabs>
          <w:tab w:val="num" w:pos="0"/>
          <w:tab w:val="left" w:pos="204"/>
        </w:tabs>
        <w:autoSpaceDE w:val="0"/>
        <w:autoSpaceDN w:val="0"/>
        <w:adjustRightInd w:val="0"/>
        <w:ind w:right="-291"/>
        <w:jc w:val="both"/>
        <w:rPr>
          <w:rFonts w:ascii="Georgia" w:hAnsi="Georgia"/>
          <w:b/>
          <w:i/>
          <w:color w:val="000000"/>
          <w:sz w:val="20"/>
        </w:rPr>
      </w:pPr>
      <w:r w:rsidRPr="00D152A8">
        <w:rPr>
          <w:rFonts w:ascii="Georgia" w:hAnsi="Georgia"/>
          <w:b/>
          <w:i/>
          <w:color w:val="000000"/>
          <w:sz w:val="20"/>
          <w:highlight w:val="yellow"/>
        </w:rPr>
        <w:t>b</w:t>
      </w:r>
      <w:r w:rsidR="00340609" w:rsidRPr="00D152A8">
        <w:rPr>
          <w:rFonts w:ascii="Georgia" w:hAnsi="Georgia"/>
          <w:b/>
          <w:i/>
          <w:color w:val="000000"/>
          <w:sz w:val="20"/>
          <w:highlight w:val="yellow"/>
        </w:rPr>
        <w:t xml:space="preserve">) </w:t>
      </w:r>
      <w:proofErr w:type="gramStart"/>
      <w:r w:rsidR="00340609" w:rsidRPr="00F868AC">
        <w:rPr>
          <w:rFonts w:ascii="Georgia" w:hAnsi="Georgia"/>
          <w:b/>
          <w:i/>
          <w:color w:val="0000FF"/>
          <w:sz w:val="20"/>
          <w:highlight w:val="yellow"/>
        </w:rPr>
        <w:t>relativamente all’</w:t>
      </w:r>
      <w:proofErr w:type="gramEnd"/>
      <w:r w:rsidR="00340609" w:rsidRPr="00F868AC">
        <w:rPr>
          <w:rFonts w:ascii="Georgia" w:hAnsi="Georgia"/>
          <w:b/>
          <w:i/>
          <w:color w:val="0000FF"/>
          <w:sz w:val="20"/>
          <w:highlight w:val="yellow"/>
        </w:rPr>
        <w:t>accertamento del tasso usurario</w:t>
      </w:r>
    </w:p>
    <w:p w14:paraId="13AEC5BC" w14:textId="77777777" w:rsidR="00340609" w:rsidRPr="00E76168" w:rsidRDefault="00340609" w:rsidP="00E76168">
      <w:pPr>
        <w:pStyle w:val="Paragrafoelenco"/>
        <w:widowControl w:val="0"/>
        <w:numPr>
          <w:ilvl w:val="0"/>
          <w:numId w:val="1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E76168">
        <w:rPr>
          <w:rFonts w:ascii="Georgia" w:hAnsi="Georgia"/>
          <w:i/>
          <w:color w:val="000000"/>
          <w:sz w:val="20"/>
        </w:rPr>
        <w:t>verificare</w:t>
      </w:r>
      <w:proofErr w:type="gramEnd"/>
      <w:r w:rsidRPr="00E76168">
        <w:rPr>
          <w:rFonts w:ascii="Georgia" w:hAnsi="Georgia"/>
          <w:i/>
          <w:color w:val="000000"/>
          <w:sz w:val="20"/>
        </w:rPr>
        <w:t xml:space="preserve"> </w:t>
      </w:r>
      <w:r w:rsidRPr="00D152A8">
        <w:rPr>
          <w:rFonts w:ascii="Georgia" w:hAnsi="Georgia"/>
          <w:b/>
          <w:i/>
          <w:color w:val="000000"/>
          <w:sz w:val="20"/>
        </w:rPr>
        <w:t>al momento della pattuizione contrattuale</w:t>
      </w:r>
      <w:r w:rsidRPr="00E76168">
        <w:rPr>
          <w:rFonts w:ascii="Georgia" w:hAnsi="Georgia"/>
          <w:i/>
          <w:color w:val="000000"/>
          <w:sz w:val="20"/>
        </w:rPr>
        <w:t xml:space="preserve"> (atto notarile o scrittura privata, per i chirografi) il tasso di soglia pubblicato trimestralmente dal D.M. Ministero dell’Economia e delle Finanze del c.d. tasso di soglia relativo alla categoria di operazioni cui fa parte il finanziamento in oggetto;</w:t>
      </w:r>
    </w:p>
    <w:p w14:paraId="32E46BAE" w14:textId="5E3FB6BB" w:rsidR="00340609" w:rsidRPr="00E76168" w:rsidRDefault="00340609" w:rsidP="00E76168">
      <w:pPr>
        <w:pStyle w:val="Paragrafoelenco"/>
        <w:widowControl w:val="0"/>
        <w:numPr>
          <w:ilvl w:val="0"/>
          <w:numId w:val="1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calcolare</w:t>
      </w:r>
      <w:proofErr w:type="gramEnd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 al momento della pattuizione contrattuale (atto notarile o scrittura privata, per i chirografi) il Tasso effettivamente applicato in contratt</w:t>
      </w:r>
      <w:r w:rsid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o secondo la formula del TAEG (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o I.S.C.), includendo nella stessa </w:t>
      </w:r>
      <w:r w:rsidRPr="00D152A8">
        <w:rPr>
          <w:rFonts w:ascii="Georgia" w:eastAsiaTheme="minorHAnsi" w:hAnsi="Georgia" w:cs="Georgia"/>
          <w:b/>
          <w:i/>
          <w:iCs/>
          <w:sz w:val="20"/>
          <w:lang w:eastAsia="en-US" w:bidi="ar-SA"/>
        </w:rPr>
        <w:t>commissioni, remunerazioni a qualsiasi titolo (inclusi eventuali compensi di mediazione percepiti dai soggetti intermediari) e spese (anche quelle notarili e per perizie tecniche), escluse quelle per imposte e tasse,</w:t>
      </w:r>
      <w:r w:rsidRPr="00D152A8">
        <w:rPr>
          <w:rFonts w:ascii="Georgia" w:hAnsi="Georgia"/>
          <w:b/>
          <w:i/>
          <w:color w:val="000000"/>
          <w:sz w:val="20"/>
        </w:rPr>
        <w:t xml:space="preserve"> compresa la maggiorazione per gli interessi di mora</w:t>
      </w:r>
      <w:r w:rsidR="007606CF" w:rsidRPr="00D152A8">
        <w:rPr>
          <w:rFonts w:ascii="Georgia" w:hAnsi="Georgia"/>
          <w:b/>
          <w:i/>
          <w:color w:val="000000"/>
          <w:sz w:val="20"/>
        </w:rPr>
        <w:t xml:space="preserve">, nonché il tasso </w:t>
      </w:r>
      <w:proofErr w:type="gramStart"/>
      <w:r w:rsidR="007606CF" w:rsidRPr="00D152A8">
        <w:rPr>
          <w:rFonts w:ascii="Georgia" w:hAnsi="Georgia"/>
          <w:b/>
          <w:i/>
          <w:color w:val="000000"/>
          <w:sz w:val="20"/>
        </w:rPr>
        <w:t>effettivo</w:t>
      </w:r>
      <w:proofErr w:type="gramEnd"/>
      <w:r w:rsidR="007606CF" w:rsidRPr="00D152A8">
        <w:rPr>
          <w:rFonts w:ascii="Georgia" w:hAnsi="Georgia"/>
          <w:b/>
          <w:i/>
          <w:color w:val="000000"/>
          <w:sz w:val="20"/>
        </w:rPr>
        <w:t xml:space="preserve"> applicato nel piano di ammortamento allegato al contratto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;</w:t>
      </w:r>
    </w:p>
    <w:p w14:paraId="0003B666" w14:textId="4512FE46" w:rsidR="00340609" w:rsidRPr="00E76168" w:rsidRDefault="00340609" w:rsidP="00E76168">
      <w:pPr>
        <w:pStyle w:val="Paragrafoelenco"/>
        <w:widowControl w:val="0"/>
        <w:numPr>
          <w:ilvl w:val="0"/>
          <w:numId w:val="1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nell’</w:t>
      </w:r>
      <w:proofErr w:type="gramEnd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ipotesi che la pattuizione contrattuale originaria, con i criteri sopra indicati, risulti maggiore del tasso soglia, </w:t>
      </w:r>
      <w:r w:rsidRPr="00F868AC">
        <w:rPr>
          <w:rFonts w:ascii="Georgia" w:eastAsiaTheme="minorHAnsi" w:hAnsi="Georgia" w:cs="Georgia"/>
          <w:b/>
          <w:i/>
          <w:iCs/>
          <w:sz w:val="20"/>
          <w:lang w:eastAsia="en-US" w:bidi="ar-SA"/>
        </w:rPr>
        <w:t xml:space="preserve">effettuare il ricalcolo dell’intero mutuo espungendo tutti gli interessi 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(cfr. art. 1815, comma 3, c.c.), competenze bancarie e oneri vari, procedendo da un lato al ricalcolo e determinazione delle varie rate del finanziamento secondo l’originario piano di ammortamento (ovviamente tenuto conto del solo capitale) e dall’altro procedendo, secondo un prospetto analitico e distinto per colonne, alla quantificazione degli interessi, competenze e spese collegate o comunque riconducibili all'erogazione del finanziamento (spese notarili, di assicurazione, per perizie tecniche</w:t>
      </w:r>
      <w:r w:rsidR="00D81926"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, capitalizzazione composta,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 ecc</w:t>
      </w:r>
      <w:proofErr w:type="gramStart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..</w:t>
      </w:r>
      <w:proofErr w:type="gramEnd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)  versati e non dovuti; </w:t>
      </w:r>
    </w:p>
    <w:p w14:paraId="32CB7CAD" w14:textId="77777777" w:rsidR="00DE3BAF" w:rsidRDefault="00340609" w:rsidP="00DE3BAF">
      <w:pPr>
        <w:pStyle w:val="Paragrafoelenco"/>
        <w:widowControl w:val="0"/>
        <w:numPr>
          <w:ilvl w:val="0"/>
          <w:numId w:val="1"/>
        </w:numPr>
        <w:tabs>
          <w:tab w:val="num" w:pos="0"/>
          <w:tab w:val="left" w:pos="204"/>
        </w:tabs>
        <w:autoSpaceDE w:val="0"/>
        <w:autoSpaceDN w:val="0"/>
        <w:adjustRightInd w:val="0"/>
        <w:ind w:left="-284" w:right="-291" w:firstLine="0"/>
        <w:jc w:val="both"/>
        <w:rPr>
          <w:rFonts w:ascii="Georgia" w:hAnsi="Georgia"/>
          <w:b/>
          <w:i/>
          <w:color w:val="000000"/>
          <w:sz w:val="20"/>
        </w:rPr>
      </w:pPr>
      <w:proofErr w:type="gramStart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Nell’ipotesi di esecuzione, alla luce del calcolo precedente, determinare se al momento della revoca del beneficio del termine (cfr. art</w:t>
      </w:r>
      <w:proofErr w:type="gramEnd"/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. 1186 c.c.) il cliente fosse a debito o a credito (tenendo conto, nel calcolo, che gli interessi e le competenze indebite già versati dovranno essere imputate a capitale) rispetto al </w:t>
      </w:r>
      <w:proofErr w:type="gramStart"/>
      <w:r w:rsidRPr="00E76168">
        <w:rPr>
          <w:rFonts w:ascii="Georgia" w:eastAsiaTheme="minorHAnsi" w:hAnsi="Georgia" w:cs="Georgia"/>
          <w:b/>
          <w:bCs/>
          <w:i/>
          <w:iCs/>
          <w:sz w:val="20"/>
          <w:lang w:eastAsia="en-US" w:bidi="ar-SA"/>
        </w:rPr>
        <w:t>capitale</w:t>
      </w:r>
      <w:proofErr w:type="gramEnd"/>
      <w:r w:rsidRPr="00E76168">
        <w:rPr>
          <w:rFonts w:ascii="Georgia" w:eastAsiaTheme="minorHAnsi" w:hAnsi="Georgia" w:cs="Georgia"/>
          <w:b/>
          <w:bCs/>
          <w:i/>
          <w:iCs/>
          <w:sz w:val="20"/>
          <w:lang w:eastAsia="en-US" w:bidi="ar-SA"/>
        </w:rPr>
        <w:t xml:space="preserve"> estinto e previsto</w:t>
      </w:r>
      <w:r w:rsidR="00E76168"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 (sino a quel momento - 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da</w:t>
      </w:r>
      <w:r w:rsid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 xml:space="preserve">ta di decadenza del beneficio) </w:t>
      </w:r>
      <w:r w:rsidRPr="00E76168">
        <w:rPr>
          <w:rFonts w:ascii="Georgia" w:eastAsiaTheme="minorHAnsi" w:hAnsi="Georgia" w:cs="Georgia"/>
          <w:i/>
          <w:iCs/>
          <w:sz w:val="20"/>
          <w:lang w:eastAsia="en-US" w:bidi="ar-SA"/>
        </w:rPr>
        <w:t>dal piano di ammortamento sottoscritto con l’istituto di credito;</w:t>
      </w:r>
      <w:r w:rsidR="00DE3BAF">
        <w:rPr>
          <w:rFonts w:ascii="Georgia" w:hAnsi="Georgia"/>
          <w:b/>
          <w:i/>
          <w:color w:val="000000"/>
          <w:sz w:val="20"/>
        </w:rPr>
        <w:tab/>
      </w:r>
    </w:p>
    <w:p w14:paraId="66DD31F1" w14:textId="437AC7E6" w:rsidR="00340609" w:rsidRPr="00F868AC" w:rsidRDefault="00340609" w:rsidP="00DE3BAF">
      <w:pPr>
        <w:pStyle w:val="Paragrafoelenco"/>
        <w:widowControl w:val="0"/>
        <w:numPr>
          <w:ilvl w:val="0"/>
          <w:numId w:val="5"/>
        </w:numPr>
        <w:tabs>
          <w:tab w:val="num" w:pos="0"/>
          <w:tab w:val="left" w:pos="204"/>
        </w:tabs>
        <w:autoSpaceDE w:val="0"/>
        <w:autoSpaceDN w:val="0"/>
        <w:adjustRightInd w:val="0"/>
        <w:ind w:right="-291"/>
        <w:jc w:val="both"/>
        <w:rPr>
          <w:rFonts w:ascii="Georgia" w:hAnsi="Georgia"/>
          <w:b/>
          <w:i/>
          <w:color w:val="0000FF"/>
          <w:sz w:val="20"/>
        </w:rPr>
      </w:pPr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c) </w:t>
      </w:r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Relativamente alla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 nullità del negozio derivante dalla violazione dell’art.  2, lettera a</w:t>
      </w:r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)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, e dell’art. 3 della Legge n. 287 del 10/10/1990 - “Norme per la tutela della concorrenza e del marcato - ANTITRUST” - stabilisce all’art. 2 (Intese restrittive della libertà di concorrenza): </w:t>
      </w:r>
    </w:p>
    <w:p w14:paraId="1550F7A1" w14:textId="77777777" w:rsidR="00DE3BAF" w:rsidRDefault="00340609" w:rsidP="00DE3BAF">
      <w:pPr>
        <w:widowControl w:val="0"/>
        <w:tabs>
          <w:tab w:val="left" w:pos="0"/>
        </w:tabs>
        <w:autoSpaceDE w:val="0"/>
        <w:autoSpaceDN w:val="0"/>
        <w:adjustRightInd w:val="0"/>
        <w:ind w:left="-284" w:right="-291"/>
        <w:jc w:val="both"/>
        <w:rPr>
          <w:rFonts w:ascii="Georgia" w:hAnsi="Georgia"/>
          <w:i/>
          <w:color w:val="000000"/>
          <w:sz w:val="20"/>
        </w:rPr>
      </w:pPr>
      <w:proofErr w:type="gramStart"/>
      <w:r w:rsidRPr="00E76168">
        <w:rPr>
          <w:rFonts w:ascii="Georgia" w:hAnsi="Georgia"/>
          <w:i/>
          <w:color w:val="000000"/>
          <w:sz w:val="20"/>
        </w:rPr>
        <w:t>nell’</w:t>
      </w:r>
      <w:proofErr w:type="gramEnd"/>
      <w:r w:rsidRPr="00E76168">
        <w:rPr>
          <w:rFonts w:ascii="Georgia" w:hAnsi="Georgia"/>
          <w:i/>
          <w:color w:val="000000"/>
          <w:sz w:val="20"/>
        </w:rPr>
        <w:t xml:space="preserve">ipotesi che la pattuizione contrattuale originaria preveda per la determinazione del tasso dovuto dal cliente alla banca il tasso di interesse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Libor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o Euribor, effettuare il ricalcolo dell’intero mutuo espungendo tutti gli interessi e competenze bancarie (ad esclusione dello spread se previsto contrattualmente) (cfr. art. </w:t>
      </w:r>
      <w:proofErr w:type="gramStart"/>
      <w:r w:rsidRPr="00E76168">
        <w:rPr>
          <w:rFonts w:ascii="Georgia" w:hAnsi="Georgia"/>
          <w:i/>
          <w:color w:val="000000"/>
          <w:sz w:val="20"/>
        </w:rPr>
        <w:t>2 lettera</w:t>
      </w:r>
      <w:proofErr w:type="gramEnd"/>
      <w:r w:rsidRPr="00E76168">
        <w:rPr>
          <w:rFonts w:ascii="Georgia" w:hAnsi="Georgia"/>
          <w:i/>
          <w:color w:val="000000"/>
          <w:sz w:val="20"/>
        </w:rPr>
        <w:t xml:space="preserve"> a ed art. 3 della Legge n. 287 del 10/10/1990 - “</w:t>
      </w:r>
      <w:r w:rsidRPr="00E76168">
        <w:rPr>
          <w:rFonts w:ascii="Georgia" w:hAnsi="Georgia"/>
          <w:i/>
          <w:sz w:val="20"/>
        </w:rPr>
        <w:t xml:space="preserve">Le intese vietate sono nulle </w:t>
      </w:r>
      <w:proofErr w:type="gramStart"/>
      <w:r w:rsidRPr="00E76168">
        <w:rPr>
          <w:rFonts w:ascii="Georgia" w:hAnsi="Georgia"/>
          <w:b/>
          <w:i/>
          <w:sz w:val="20"/>
        </w:rPr>
        <w:t>ad</w:t>
      </w:r>
      <w:proofErr w:type="gramEnd"/>
      <w:r w:rsidRPr="00E76168">
        <w:rPr>
          <w:rFonts w:ascii="Georgia" w:hAnsi="Georgia"/>
          <w:b/>
          <w:i/>
          <w:sz w:val="20"/>
        </w:rPr>
        <w:t xml:space="preserve"> ogni effetto</w:t>
      </w:r>
      <w:r w:rsidRPr="00E76168">
        <w:rPr>
          <w:rFonts w:ascii="Georgia" w:hAnsi="Georgia"/>
          <w:i/>
          <w:sz w:val="20"/>
        </w:rPr>
        <w:t>”</w:t>
      </w:r>
      <w:r w:rsidRPr="00E76168">
        <w:rPr>
          <w:rFonts w:ascii="Georgia" w:hAnsi="Georgia"/>
          <w:i/>
          <w:color w:val="000000"/>
          <w:sz w:val="20"/>
        </w:rPr>
        <w:t>), procedendo da un lato al ricalcolo e determinazione delle varie rate del finanziamento secondo l’originario piano di ammortamento (ovviamente tenuto conto del solo capitale) e dall’altro procedendo alla quantificazione degli</w:t>
      </w:r>
      <w:r w:rsidR="0069114F" w:rsidRPr="00E76168">
        <w:rPr>
          <w:rFonts w:ascii="Georgia" w:hAnsi="Georgia"/>
          <w:i/>
          <w:color w:val="000000"/>
          <w:sz w:val="20"/>
        </w:rPr>
        <w:t xml:space="preserve"> interessi versati e non dovuti, dei quali è dovuta la ripetizione o l’imputazione a sorte capitale.</w:t>
      </w:r>
    </w:p>
    <w:p w14:paraId="467D0E0C" w14:textId="5E38A84A" w:rsidR="00E4024E" w:rsidRPr="00F868AC" w:rsidRDefault="00E4024E" w:rsidP="00DE3BAF">
      <w:pPr>
        <w:pStyle w:val="Paragrafoelenco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right="-291"/>
        <w:jc w:val="both"/>
        <w:rPr>
          <w:rFonts w:ascii="Georgia" w:hAnsi="Georgia"/>
          <w:i/>
          <w:color w:val="0000FF"/>
          <w:sz w:val="20"/>
        </w:rPr>
      </w:pPr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d) </w:t>
      </w:r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Relativamente alla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 nullità c.d. “virtuale” del negozio ex art. </w:t>
      </w:r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art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. 1418, 1° comma, c.c. derivante dalla violazione di norme imperative qual è quella prevista dall’art. 185 </w:t>
      </w:r>
      <w:proofErr w:type="spellStart"/>
      <w:proofErr w:type="gramStart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TUf</w:t>
      </w:r>
      <w:proofErr w:type="spell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>.</w:t>
      </w:r>
      <w:proofErr w:type="gramEnd"/>
      <w:r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 ( Manipolazione del mercato - delitto)</w:t>
      </w:r>
      <w:r w:rsidR="0069114F" w:rsidRPr="00F868AC">
        <w:rPr>
          <w:rFonts w:ascii="Georgia" w:hAnsi="Georgia"/>
          <w:b/>
          <w:i/>
          <w:color w:val="0000FF"/>
          <w:sz w:val="20"/>
          <w:highlight w:val="yellow"/>
        </w:rPr>
        <w:t xml:space="preserve"> che tutela l’ordine pubblico economico nazionale ed internazionale</w:t>
      </w:r>
      <w:r w:rsidRPr="00F868AC">
        <w:rPr>
          <w:rFonts w:ascii="Georgia" w:hAnsi="Georgia"/>
          <w:b/>
          <w:i/>
          <w:color w:val="0000FF"/>
          <w:sz w:val="20"/>
          <w:highlight w:val="yellow"/>
        </w:rPr>
        <w:t>:</w:t>
      </w:r>
    </w:p>
    <w:p w14:paraId="7324D925" w14:textId="2021ACA2" w:rsidR="002E3FEB" w:rsidRPr="00E76168" w:rsidRDefault="0069114F" w:rsidP="00E76168">
      <w:pPr>
        <w:widowControl w:val="0"/>
        <w:tabs>
          <w:tab w:val="left" w:pos="0"/>
        </w:tabs>
        <w:autoSpaceDE w:val="0"/>
        <w:autoSpaceDN w:val="0"/>
        <w:adjustRightInd w:val="0"/>
        <w:ind w:left="-284" w:right="-291"/>
        <w:jc w:val="both"/>
        <w:rPr>
          <w:rFonts w:ascii="Georgia" w:hAnsi="Georgia"/>
          <w:i/>
          <w:color w:val="000000"/>
          <w:sz w:val="20"/>
        </w:rPr>
      </w:pPr>
      <w:r w:rsidRPr="00E76168">
        <w:rPr>
          <w:rFonts w:ascii="Georgia" w:hAnsi="Georgia"/>
          <w:i/>
          <w:color w:val="000000"/>
          <w:sz w:val="20"/>
        </w:rPr>
        <w:t>Tenuto conto della</w:t>
      </w:r>
      <w:r w:rsidR="006A79E0" w:rsidRPr="00E76168">
        <w:rPr>
          <w:rFonts w:ascii="Georgia" w:hAnsi="Georgia"/>
          <w:i/>
          <w:color w:val="000000"/>
          <w:sz w:val="20"/>
        </w:rPr>
        <w:t xml:space="preserve"> </w:t>
      </w:r>
      <w:r w:rsidR="006A79E0" w:rsidRPr="006E0AEA">
        <w:rPr>
          <w:rFonts w:ascii="Georgia" w:hAnsi="Georgia"/>
          <w:b/>
          <w:i/>
          <w:color w:val="000000"/>
          <w:sz w:val="20"/>
        </w:rPr>
        <w:t>decisione della Commissione Europea del 4 dicembre 2013</w:t>
      </w:r>
      <w:r w:rsidR="006A79E0" w:rsidRPr="00E76168">
        <w:rPr>
          <w:rFonts w:ascii="Georgia" w:hAnsi="Georgia"/>
          <w:i/>
          <w:color w:val="000000"/>
          <w:sz w:val="20"/>
        </w:rPr>
        <w:t>,</w:t>
      </w:r>
      <w:r w:rsidRPr="00E76168">
        <w:rPr>
          <w:rFonts w:ascii="Georgia" w:hAnsi="Georgia"/>
          <w:i/>
          <w:color w:val="000000"/>
          <w:sz w:val="20"/>
        </w:rPr>
        <w:t xml:space="preserve"> nel caso </w:t>
      </w:r>
      <w:proofErr w:type="gramStart"/>
      <w:r w:rsidRPr="00E76168">
        <w:rPr>
          <w:rFonts w:ascii="Georgia" w:hAnsi="Georgia"/>
          <w:i/>
          <w:color w:val="000000"/>
          <w:sz w:val="20"/>
        </w:rPr>
        <w:t>AT</w:t>
      </w:r>
      <w:proofErr w:type="gramEnd"/>
      <w:r w:rsidRPr="00E76168">
        <w:rPr>
          <w:rFonts w:ascii="Georgia" w:hAnsi="Georgia"/>
          <w:i/>
          <w:color w:val="000000"/>
          <w:sz w:val="20"/>
        </w:rPr>
        <w:t xml:space="preserve"> 39914, </w:t>
      </w:r>
      <w:r w:rsidRPr="00E76168">
        <w:rPr>
          <w:rFonts w:ascii="Georgia" w:hAnsi="Georgia"/>
          <w:sz w:val="20"/>
        </w:rPr>
        <w:t xml:space="preserve"> </w:t>
      </w:r>
      <w:r w:rsidRPr="00E76168">
        <w:rPr>
          <w:rFonts w:ascii="Georgia" w:hAnsi="Georgia"/>
          <w:i/>
          <w:color w:val="000000"/>
          <w:sz w:val="20"/>
        </w:rPr>
        <w:t xml:space="preserve">vicepresidente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Joaquìn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Almunia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, con la quale sono state multate per 1,7 miliardi di euro Barclays,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Deutsche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Bank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,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Royal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Bank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of Scotland e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Société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 </w:t>
      </w:r>
      <w:proofErr w:type="spellStart"/>
      <w:r w:rsidRPr="00E76168">
        <w:rPr>
          <w:rFonts w:ascii="Georgia" w:hAnsi="Georgia"/>
          <w:i/>
          <w:color w:val="000000"/>
          <w:sz w:val="20"/>
        </w:rPr>
        <w:t>Générale</w:t>
      </w:r>
      <w:proofErr w:type="spellEnd"/>
      <w:r w:rsidRPr="00E76168">
        <w:rPr>
          <w:rFonts w:ascii="Georgia" w:hAnsi="Georgia"/>
          <w:i/>
          <w:color w:val="000000"/>
          <w:sz w:val="20"/>
        </w:rPr>
        <w:t xml:space="preserve">, per un accordo di cartello finalizzato a manipolare l’Euribor, e considerato che </w:t>
      </w:r>
      <w:r w:rsidRPr="006E0AEA">
        <w:rPr>
          <w:rFonts w:ascii="Georgia" w:hAnsi="Georgia"/>
          <w:b/>
          <w:i/>
          <w:color w:val="000000"/>
          <w:sz w:val="20"/>
        </w:rPr>
        <w:t xml:space="preserve">il testo dell’art. 185 TUF, </w:t>
      </w:r>
      <w:proofErr w:type="gramStart"/>
      <w:r w:rsidRPr="006E0AEA">
        <w:rPr>
          <w:rFonts w:ascii="Georgia" w:hAnsi="Georgia"/>
          <w:b/>
          <w:i/>
          <w:color w:val="000000"/>
          <w:sz w:val="20"/>
        </w:rPr>
        <w:t xml:space="preserve">al </w:t>
      </w:r>
      <w:proofErr w:type="gramEnd"/>
      <w:r w:rsidRPr="006E0AEA">
        <w:rPr>
          <w:rFonts w:ascii="Georgia" w:hAnsi="Georgia"/>
          <w:b/>
          <w:i/>
          <w:color w:val="000000"/>
          <w:sz w:val="20"/>
        </w:rPr>
        <w:t>1 comma</w:t>
      </w:r>
      <w:r w:rsidRPr="00E76168">
        <w:rPr>
          <w:rFonts w:ascii="Georgia" w:hAnsi="Georgia"/>
          <w:i/>
          <w:color w:val="000000"/>
          <w:sz w:val="20"/>
        </w:rPr>
        <w:t xml:space="preserve"> prevede che: “</w:t>
      </w:r>
      <w:r w:rsidRPr="00E76168">
        <w:rPr>
          <w:rFonts w:ascii="Georgia" w:hAnsi="Georgia"/>
          <w:i/>
          <w:sz w:val="20"/>
        </w:rPr>
        <w:t>Chiunque diffonde notizie false o pone in essere operazioni simulate o altri artifizi concretamente idonei a provocare una sensibile alterazione del prezzo di strumenti finanziari, è punito con la reclusione da uno a sei anni e con la multa da euro ventimila a euro cinque milioni”</w:t>
      </w:r>
      <w:r w:rsidRPr="00E76168">
        <w:rPr>
          <w:rFonts w:ascii="Georgia" w:hAnsi="Georgia"/>
          <w:sz w:val="20"/>
        </w:rPr>
        <w:t xml:space="preserve">, nonché tenuto altresì conto che </w:t>
      </w:r>
      <w:r w:rsidRPr="006E0AEA">
        <w:rPr>
          <w:rFonts w:ascii="Georgia" w:hAnsi="Georgia"/>
          <w:b/>
          <w:sz w:val="20"/>
        </w:rPr>
        <w:t xml:space="preserve">per l’art. 1418, comma </w:t>
      </w:r>
      <w:proofErr w:type="gramStart"/>
      <w:r w:rsidRPr="006E0AEA">
        <w:rPr>
          <w:rFonts w:ascii="Georgia" w:hAnsi="Georgia"/>
          <w:b/>
          <w:sz w:val="20"/>
        </w:rPr>
        <w:t>1</w:t>
      </w:r>
      <w:proofErr w:type="gramEnd"/>
      <w:r w:rsidRPr="006E0AEA">
        <w:rPr>
          <w:rFonts w:ascii="Georgia" w:hAnsi="Georgia"/>
          <w:b/>
          <w:sz w:val="20"/>
        </w:rPr>
        <w:t>, del c.c.</w:t>
      </w:r>
      <w:r w:rsidRPr="00E76168">
        <w:rPr>
          <w:rFonts w:ascii="Georgia" w:hAnsi="Georgia"/>
          <w:sz w:val="20"/>
        </w:rPr>
        <w:t xml:space="preserve"> </w:t>
      </w:r>
      <w:r w:rsidRPr="00E76168">
        <w:rPr>
          <w:rFonts w:ascii="Georgia" w:hAnsi="Georgia"/>
          <w:i/>
          <w:sz w:val="20"/>
        </w:rPr>
        <w:t xml:space="preserve">“il contratto è nullo quando è contrario a norme imperative, salvo che la legge disponga diversamente” </w:t>
      </w:r>
      <w:r w:rsidRPr="00E76168">
        <w:rPr>
          <w:rFonts w:ascii="Georgia" w:hAnsi="Georgia"/>
          <w:i/>
          <w:color w:val="000000"/>
          <w:sz w:val="20"/>
        </w:rPr>
        <w:t>effettuare il ricalcolo dell’intero mutuo espungendo tutti gli interessi e competenze bancarie, procedendo da un lato al ricalcolo e determinazione delle varie rate del finanziamento secondo l’originario piano di ammortamento (ovviamente tenuto conto del solo capitale) e dall’altro procedendo alla quantificazione degli interessi versati e non dovuti, dei quali è dovuta la ripetizione o l’imputazione a sorte capitale.</w:t>
      </w:r>
    </w:p>
    <w:sectPr w:rsidR="002E3FEB" w:rsidRPr="00E76168" w:rsidSect="00DE3BAF">
      <w:pgSz w:w="11900" w:h="16840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9FD85" w14:textId="77777777" w:rsidR="00F868AC" w:rsidRDefault="00F868AC" w:rsidP="00E4024E">
      <w:r>
        <w:separator/>
      </w:r>
    </w:p>
  </w:endnote>
  <w:endnote w:type="continuationSeparator" w:id="0">
    <w:p w14:paraId="34387E66" w14:textId="77777777" w:rsidR="00F868AC" w:rsidRDefault="00F868AC" w:rsidP="00E4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7EC67" w14:textId="77777777" w:rsidR="00F868AC" w:rsidRDefault="00F868AC" w:rsidP="00E4024E">
      <w:r>
        <w:separator/>
      </w:r>
    </w:p>
  </w:footnote>
  <w:footnote w:type="continuationSeparator" w:id="0">
    <w:p w14:paraId="4ECB0B3C" w14:textId="77777777" w:rsidR="00F868AC" w:rsidRDefault="00F868AC" w:rsidP="00E40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B7C"/>
    <w:multiLevelType w:val="hybridMultilevel"/>
    <w:tmpl w:val="1270D942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C4253C1"/>
    <w:multiLevelType w:val="hybridMultilevel"/>
    <w:tmpl w:val="B9C6665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5EB7060"/>
    <w:multiLevelType w:val="hybridMultilevel"/>
    <w:tmpl w:val="9730B4D4"/>
    <w:lvl w:ilvl="0" w:tplc="250CB3F6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4F13FB3"/>
    <w:multiLevelType w:val="hybridMultilevel"/>
    <w:tmpl w:val="F286C86C"/>
    <w:lvl w:ilvl="0" w:tplc="907A1B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676952"/>
    <w:multiLevelType w:val="hybridMultilevel"/>
    <w:tmpl w:val="7D38501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BFF67FC"/>
    <w:multiLevelType w:val="hybridMultilevel"/>
    <w:tmpl w:val="7D04A92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09"/>
    <w:rsid w:val="001F4E89"/>
    <w:rsid w:val="002E3FEB"/>
    <w:rsid w:val="00340609"/>
    <w:rsid w:val="00345378"/>
    <w:rsid w:val="0069114F"/>
    <w:rsid w:val="006A79E0"/>
    <w:rsid w:val="006E0AEA"/>
    <w:rsid w:val="006E6BFD"/>
    <w:rsid w:val="007606CF"/>
    <w:rsid w:val="009B0CDA"/>
    <w:rsid w:val="00AA18E1"/>
    <w:rsid w:val="00AC3457"/>
    <w:rsid w:val="00B04B3F"/>
    <w:rsid w:val="00C34FF5"/>
    <w:rsid w:val="00D152A8"/>
    <w:rsid w:val="00D81926"/>
    <w:rsid w:val="00DE3BAF"/>
    <w:rsid w:val="00E4024E"/>
    <w:rsid w:val="00E76168"/>
    <w:rsid w:val="00F8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E3C8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0609"/>
    <w:rPr>
      <w:rFonts w:ascii="Times New Roman" w:eastAsia="Times New Roman" w:hAnsi="Times New Roman" w:cs="Times New Roman"/>
      <w:szCs w:val="20"/>
      <w:lang w:bidi="he-I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0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0609"/>
    <w:rPr>
      <w:rFonts w:ascii="Times New Roman" w:eastAsia="Times New Roman" w:hAnsi="Times New Roman" w:cs="Times New Roman"/>
      <w:szCs w:val="20"/>
      <w:lang w:bidi="he-I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0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930</Words>
  <Characters>5302</Characters>
  <Application>Microsoft Macintosh Word</Application>
  <DocSecurity>0</DocSecurity>
  <Lines>44</Lines>
  <Paragraphs>12</Paragraphs>
  <ScaleCrop>false</ScaleCrop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tanza</dc:creator>
  <cp:keywords/>
  <dc:description/>
  <cp:lastModifiedBy>antonio tanza</cp:lastModifiedBy>
  <cp:revision>10</cp:revision>
  <cp:lastPrinted>2017-01-30T11:59:00Z</cp:lastPrinted>
  <dcterms:created xsi:type="dcterms:W3CDTF">2016-02-24T20:35:00Z</dcterms:created>
  <dcterms:modified xsi:type="dcterms:W3CDTF">2017-01-30T11:59:00Z</dcterms:modified>
</cp:coreProperties>
</file>